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75C4" w14:textId="689DFD7A" w:rsidR="003801F1" w:rsidRPr="00ED5EEF" w:rsidRDefault="000B6717" w:rsidP="003801F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西螺鎮</w:t>
      </w:r>
      <w:r w:rsidR="003801F1" w:rsidRPr="00ED5EEF">
        <w:rPr>
          <w:rFonts w:ascii="標楷體" w:eastAsia="標楷體" w:hAnsi="標楷體" w:hint="eastAsia"/>
          <w:b/>
          <w:bCs/>
          <w:sz w:val="32"/>
          <w:szCs w:val="32"/>
        </w:rPr>
        <w:t>火化場設施概況編製說明</w:t>
      </w:r>
    </w:p>
    <w:p w14:paraId="4331B282" w14:textId="77777777" w:rsidR="00423959" w:rsidRPr="003801F1" w:rsidRDefault="00423959">
      <w:pPr>
        <w:pStyle w:val="Standard"/>
        <w:jc w:val="center"/>
      </w:pPr>
    </w:p>
    <w:p w14:paraId="649A0462" w14:textId="176483F7" w:rsidR="00423959" w:rsidRDefault="0080567F">
      <w:pPr>
        <w:pStyle w:val="Standard"/>
      </w:pPr>
      <w:r>
        <w:rPr>
          <w:rFonts w:eastAsia="標楷體"/>
          <w:color w:val="000000"/>
        </w:rPr>
        <w:t>一、統計範團及對象：</w:t>
      </w:r>
      <w:r>
        <w:rPr>
          <w:rFonts w:ascii="標楷體" w:eastAsia="標楷體" w:hAnsi="標楷體" w:cs="標楷體"/>
          <w:szCs w:val="24"/>
        </w:rPr>
        <w:t>凡本</w:t>
      </w:r>
      <w:r w:rsidR="000B6717">
        <w:rPr>
          <w:rFonts w:ascii="標楷體" w:eastAsia="標楷體" w:hAnsi="標楷體" w:cs="標楷體" w:hint="eastAsia"/>
          <w:szCs w:val="24"/>
        </w:rPr>
        <w:t>鎮</w:t>
      </w:r>
      <w:r>
        <w:rPr>
          <w:rFonts w:ascii="標楷體" w:eastAsia="標楷體" w:hAnsi="標楷體" w:cs="標楷體"/>
          <w:szCs w:val="24"/>
        </w:rPr>
        <w:t>範圍內，依法設置及管理之公私立火化場，均為統計對象。</w:t>
      </w:r>
    </w:p>
    <w:p w14:paraId="03A717AB" w14:textId="77777777" w:rsidR="00423959" w:rsidRDefault="0080567F">
      <w:pPr>
        <w:pStyle w:val="Standard"/>
      </w:pPr>
      <w:r>
        <w:rPr>
          <w:rFonts w:eastAsia="標楷體"/>
          <w:color w:val="000000"/>
        </w:rPr>
        <w:t>二、統計標準時間：</w:t>
      </w:r>
      <w:r>
        <w:rPr>
          <w:rFonts w:ascii="標楷體" w:eastAsia="標楷體" w:hAnsi="標楷體" w:cs="標楷體"/>
          <w:szCs w:val="24"/>
        </w:rPr>
        <w:t>動態資料以當年1月至12月之事實為</w:t>
      </w:r>
      <w:proofErr w:type="gramStart"/>
      <w:r>
        <w:rPr>
          <w:rFonts w:ascii="標楷體" w:eastAsia="標楷體" w:hAnsi="標楷體" w:cs="標楷體"/>
          <w:szCs w:val="24"/>
        </w:rPr>
        <w:t>準</w:t>
      </w:r>
      <w:proofErr w:type="gramEnd"/>
      <w:r>
        <w:rPr>
          <w:rFonts w:ascii="標楷體" w:eastAsia="標楷體" w:hAnsi="標楷體" w:cs="標楷體"/>
          <w:szCs w:val="24"/>
        </w:rPr>
        <w:t>；靜態資料以當年12月底之事實為</w:t>
      </w:r>
      <w:proofErr w:type="gramStart"/>
      <w:r>
        <w:rPr>
          <w:rFonts w:ascii="標楷體" w:eastAsia="標楷體" w:hAnsi="標楷體" w:cs="標楷體"/>
          <w:szCs w:val="24"/>
        </w:rPr>
        <w:t>準</w:t>
      </w:r>
      <w:proofErr w:type="gramEnd"/>
      <w:r>
        <w:rPr>
          <w:rFonts w:ascii="標楷體" w:eastAsia="標楷體" w:hAnsi="標楷體" w:cs="標楷體"/>
          <w:szCs w:val="24"/>
        </w:rPr>
        <w:t>。</w:t>
      </w:r>
    </w:p>
    <w:p w14:paraId="3C43BC76" w14:textId="54A64A3E" w:rsidR="00423959" w:rsidRDefault="0080567F">
      <w:pPr>
        <w:pStyle w:val="Standard"/>
        <w:ind w:left="475" w:hanging="475"/>
      </w:pPr>
      <w:r>
        <w:rPr>
          <w:rFonts w:eastAsia="標楷體"/>
          <w:color w:val="000000"/>
        </w:rPr>
        <w:t>三、</w:t>
      </w:r>
      <w:r>
        <w:rPr>
          <w:rFonts w:ascii="標楷體" w:eastAsia="標楷體" w:hAnsi="標楷體" w:cs="標楷體"/>
        </w:rPr>
        <w:t>分類標準：</w:t>
      </w:r>
      <w:proofErr w:type="gramStart"/>
      <w:r>
        <w:rPr>
          <w:rFonts w:ascii="標楷體" w:eastAsia="標楷體" w:hAnsi="標楷體" w:cs="標楷體"/>
        </w:rPr>
        <w:t>橫項依</w:t>
      </w:r>
      <w:proofErr w:type="gramEnd"/>
      <w:r>
        <w:rPr>
          <w:rFonts w:ascii="標楷體" w:eastAsia="標楷體" w:hAnsi="標楷體" w:cs="標楷體"/>
        </w:rPr>
        <w:t>「</w:t>
      </w:r>
      <w:proofErr w:type="gramStart"/>
      <w:r>
        <w:rPr>
          <w:rFonts w:ascii="標楷體" w:eastAsia="標楷體" w:hAnsi="標楷體" w:cs="標楷體"/>
        </w:rPr>
        <w:t>鄉鎮市別</w:t>
      </w:r>
      <w:proofErr w:type="gramEnd"/>
      <w:r>
        <w:rPr>
          <w:rFonts w:ascii="標楷體" w:eastAsia="標楷體" w:hAnsi="標楷體" w:cs="標楷體"/>
        </w:rPr>
        <w:t>」及「公私立別」分；</w:t>
      </w:r>
      <w:proofErr w:type="gramStart"/>
      <w:r>
        <w:rPr>
          <w:rFonts w:ascii="標楷體" w:eastAsia="標楷體" w:hAnsi="標楷體" w:cs="標楷體"/>
        </w:rPr>
        <w:t>縱項依</w:t>
      </w:r>
      <w:proofErr w:type="gramEnd"/>
      <w:r>
        <w:rPr>
          <w:rFonts w:ascii="標楷體" w:eastAsia="標楷體" w:hAnsi="標楷體" w:cs="標楷體"/>
        </w:rPr>
        <w:t>「年底火化場數」、「年底土地面積」、「年底總樓地板面積」、「年底每日最大處理量」、「年底</w:t>
      </w:r>
      <w:proofErr w:type="gramStart"/>
      <w:r>
        <w:rPr>
          <w:rFonts w:ascii="標楷體" w:eastAsia="標楷體" w:hAnsi="標楷體" w:cs="標楷體"/>
        </w:rPr>
        <w:t>火化爐數</w:t>
      </w:r>
      <w:proofErr w:type="gramEnd"/>
      <w:r>
        <w:rPr>
          <w:rFonts w:ascii="標楷體" w:eastAsia="標楷體" w:hAnsi="標楷體" w:cs="標楷體"/>
        </w:rPr>
        <w:t>」及「</w:t>
      </w:r>
      <w:r>
        <w:rPr>
          <w:rFonts w:ascii="標楷體" w:eastAsia="標楷體" w:hAnsi="標楷體" w:cs="標楷體"/>
          <w:color w:val="FF0000"/>
        </w:rPr>
        <w:t>本年火化數</w:t>
      </w:r>
      <w:r>
        <w:rPr>
          <w:rFonts w:ascii="標楷體" w:eastAsia="標楷體" w:hAnsi="標楷體" w:cs="標楷體"/>
        </w:rPr>
        <w:t>」分，其中「</w:t>
      </w:r>
      <w:r>
        <w:rPr>
          <w:rFonts w:ascii="標楷體" w:eastAsia="標楷體" w:hAnsi="標楷體" w:cs="標楷體"/>
          <w:color w:val="FF0000"/>
        </w:rPr>
        <w:t>本年火化數</w:t>
      </w:r>
      <w:r>
        <w:rPr>
          <w:rFonts w:ascii="標楷體" w:eastAsia="標楷體" w:hAnsi="標楷體" w:cs="標楷體"/>
        </w:rPr>
        <w:t>」再依性別分。</w:t>
      </w:r>
    </w:p>
    <w:p w14:paraId="0DA1BD55" w14:textId="77777777" w:rsidR="00423959" w:rsidRDefault="0080567F">
      <w:pPr>
        <w:pStyle w:val="Standard"/>
        <w:rPr>
          <w:rFonts w:eastAsia="標楷體"/>
          <w:color w:val="000000"/>
        </w:rPr>
      </w:pPr>
      <w:r>
        <w:rPr>
          <w:rFonts w:eastAsia="標楷體"/>
          <w:color w:val="000000"/>
        </w:rPr>
        <w:t>四、統計項目定義：</w:t>
      </w:r>
    </w:p>
    <w:p w14:paraId="10E91DC7" w14:textId="77777777" w:rsidR="00423959" w:rsidRDefault="0080567F">
      <w:pPr>
        <w:pStyle w:val="Standard"/>
        <w:ind w:left="1" w:firstLine="473"/>
      </w:pPr>
      <w:r>
        <w:rPr>
          <w:rFonts w:eastAsia="標楷體"/>
          <w:color w:val="000000"/>
        </w:rPr>
        <w:t>（一）</w:t>
      </w:r>
      <w:r>
        <w:rPr>
          <w:rFonts w:eastAsia="標楷體"/>
        </w:rPr>
        <w:t>年底</w:t>
      </w:r>
      <w:r>
        <w:rPr>
          <w:rFonts w:ascii="標楷體" w:eastAsia="標楷體" w:hAnsi="標楷體" w:cs="標楷體"/>
          <w:szCs w:val="24"/>
        </w:rPr>
        <w:t>總樓地板面積：指</w:t>
      </w:r>
      <w:r>
        <w:rPr>
          <w:rFonts w:eastAsia="標楷體"/>
        </w:rPr>
        <w:t>當年底</w:t>
      </w:r>
      <w:r>
        <w:rPr>
          <w:rFonts w:ascii="標楷體" w:eastAsia="標楷體" w:hAnsi="標楷體" w:cs="標楷體"/>
          <w:szCs w:val="24"/>
        </w:rPr>
        <w:t>房屋各樓層總樓地板面積和而言。</w:t>
      </w:r>
    </w:p>
    <w:p w14:paraId="5A282219" w14:textId="77777777" w:rsidR="00423959" w:rsidRDefault="0080567F">
      <w:pPr>
        <w:pStyle w:val="Standard"/>
        <w:ind w:left="1" w:firstLine="502"/>
      </w:pPr>
      <w:r>
        <w:rPr>
          <w:rFonts w:eastAsia="標楷體"/>
          <w:color w:val="000000"/>
        </w:rPr>
        <w:t>（二）</w:t>
      </w:r>
      <w:r>
        <w:rPr>
          <w:rFonts w:ascii="標楷體" w:eastAsia="標楷體" w:hAnsi="標楷體" w:cs="標楷體"/>
          <w:szCs w:val="24"/>
        </w:rPr>
        <w:t>每日最大處理量：指</w:t>
      </w:r>
      <w:proofErr w:type="gramStart"/>
      <w:r>
        <w:rPr>
          <w:rFonts w:ascii="標楷體" w:eastAsia="標楷體" w:hAnsi="標楷體" w:cs="標楷體"/>
          <w:szCs w:val="24"/>
        </w:rPr>
        <w:t>依爐具</w:t>
      </w:r>
      <w:proofErr w:type="gramEnd"/>
      <w:r>
        <w:rPr>
          <w:rFonts w:ascii="標楷體" w:eastAsia="標楷體" w:hAnsi="標楷體" w:cs="標楷體"/>
          <w:szCs w:val="24"/>
        </w:rPr>
        <w:t>之效能，全部火化爐每日所能處理之最大量而言。</w:t>
      </w:r>
    </w:p>
    <w:p w14:paraId="50B10BDF" w14:textId="77777777" w:rsidR="00423959" w:rsidRDefault="0080567F">
      <w:pPr>
        <w:pStyle w:val="Standard"/>
        <w:ind w:left="1217" w:hanging="725"/>
      </w:pPr>
      <w:r>
        <w:rPr>
          <w:rFonts w:eastAsia="標楷體"/>
          <w:color w:val="000000"/>
        </w:rPr>
        <w:t>（三）</w:t>
      </w:r>
      <w:r>
        <w:rPr>
          <w:rFonts w:ascii="標楷體" w:eastAsia="標楷體" w:hAnsi="標楷體" w:cs="標楷體"/>
          <w:color w:val="FF0000"/>
          <w:szCs w:val="24"/>
        </w:rPr>
        <w:t>本年火化數</w:t>
      </w:r>
      <w:r>
        <w:rPr>
          <w:rFonts w:ascii="標楷體" w:eastAsia="標楷體" w:hAnsi="標楷體" w:cs="標楷體"/>
          <w:szCs w:val="24"/>
        </w:rPr>
        <w:t>：指當年</w:t>
      </w:r>
      <w:r>
        <w:rPr>
          <w:rFonts w:ascii="標楷體" w:eastAsia="標楷體" w:hAnsi="標楷體" w:cs="標楷體"/>
          <w:color w:val="FF0000"/>
        </w:rPr>
        <w:t>公私立火化場火化之數量</w:t>
      </w:r>
      <w:r>
        <w:rPr>
          <w:rFonts w:ascii="標楷體" w:eastAsia="標楷體" w:hAnsi="標楷體" w:cs="標楷體"/>
          <w:szCs w:val="24"/>
        </w:rPr>
        <w:t>。</w:t>
      </w:r>
    </w:p>
    <w:p w14:paraId="33214E58" w14:textId="77777777" w:rsidR="00423959" w:rsidRDefault="0080567F">
      <w:pPr>
        <w:pStyle w:val="Standard"/>
        <w:ind w:left="1217" w:hanging="725"/>
      </w:pPr>
      <w:r>
        <w:rPr>
          <w:rFonts w:eastAsia="標楷體"/>
          <w:color w:val="FF0000"/>
        </w:rPr>
        <w:t>（四）</w:t>
      </w:r>
      <w:r>
        <w:rPr>
          <w:rFonts w:ascii="標楷體" w:eastAsia="標楷體" w:hAnsi="標楷體" w:cs="標楷體"/>
          <w:color w:val="FF0000"/>
          <w:szCs w:val="24"/>
        </w:rPr>
        <w:t>性別不詳：指火化之骨骸、胎兒屍體或其他無法辨識性別之情形者。</w:t>
      </w:r>
    </w:p>
    <w:p w14:paraId="1FC741C4" w14:textId="73848530" w:rsidR="00423959" w:rsidRDefault="0080567F">
      <w:pPr>
        <w:pStyle w:val="Textbodyindent"/>
        <w:spacing w:line="320" w:lineRule="exact"/>
      </w:pPr>
      <w:r>
        <w:rPr>
          <w:sz w:val="24"/>
        </w:rPr>
        <w:t>五、資料蒐集方法及編製程序：依據</w:t>
      </w:r>
      <w:r w:rsidR="003801F1">
        <w:rPr>
          <w:rFonts w:hint="eastAsia"/>
          <w:sz w:val="24"/>
        </w:rPr>
        <w:t>本</w:t>
      </w:r>
      <w:r>
        <w:rPr>
          <w:sz w:val="24"/>
        </w:rPr>
        <w:t>所</w:t>
      </w:r>
      <w:r w:rsidR="001D5E98">
        <w:rPr>
          <w:rFonts w:hint="eastAsia"/>
          <w:sz w:val="24"/>
        </w:rPr>
        <w:t>業務</w:t>
      </w:r>
      <w:r>
        <w:rPr>
          <w:sz w:val="24"/>
        </w:rPr>
        <w:t>資料彙編。</w:t>
      </w:r>
    </w:p>
    <w:p w14:paraId="3A32ADBB" w14:textId="3CE842A5" w:rsidR="00423959" w:rsidRDefault="0080567F">
      <w:pPr>
        <w:pStyle w:val="Standard"/>
        <w:ind w:left="504" w:hanging="504"/>
      </w:pPr>
      <w:r>
        <w:rPr>
          <w:rFonts w:ascii="標楷體" w:eastAsia="標楷體" w:hAnsi="標楷體" w:cs="標楷體"/>
        </w:rPr>
        <w:t>六、編送對象：</w:t>
      </w:r>
      <w:proofErr w:type="gramStart"/>
      <w:r>
        <w:rPr>
          <w:rFonts w:ascii="標楷體" w:eastAsia="標楷體" w:hAnsi="標楷體" w:cs="標楷體"/>
          <w:szCs w:val="24"/>
        </w:rPr>
        <w:t>本表編製</w:t>
      </w:r>
      <w:proofErr w:type="gramEnd"/>
      <w:r w:rsidR="003801F1">
        <w:rPr>
          <w:rFonts w:ascii="標楷體" w:eastAsia="標楷體" w:hAnsi="標楷體" w:cs="標楷體" w:hint="eastAsia"/>
          <w:szCs w:val="24"/>
        </w:rPr>
        <w:t>3</w:t>
      </w:r>
      <w:r>
        <w:rPr>
          <w:rFonts w:ascii="標楷體" w:eastAsia="標楷體" w:hAnsi="標楷體" w:cs="標楷體"/>
          <w:szCs w:val="24"/>
        </w:rPr>
        <w:t>份，於完成會核程序並經機關</w:t>
      </w:r>
      <w:r w:rsidR="003801F1">
        <w:rPr>
          <w:rFonts w:ascii="標楷體" w:eastAsia="標楷體" w:hAnsi="標楷體" w:cs="標楷體" w:hint="eastAsia"/>
          <w:szCs w:val="24"/>
        </w:rPr>
        <w:t>首長</w:t>
      </w:r>
      <w:r>
        <w:rPr>
          <w:rFonts w:ascii="標楷體" w:eastAsia="標楷體" w:hAnsi="標楷體" w:cs="標楷體"/>
          <w:szCs w:val="24"/>
        </w:rPr>
        <w:t>核章後，1份送</w:t>
      </w:r>
      <w:r w:rsidR="003801F1">
        <w:rPr>
          <w:rFonts w:ascii="標楷體" w:eastAsia="標楷體" w:hAnsi="標楷體" w:cs="標楷體" w:hint="eastAsia"/>
          <w:szCs w:val="24"/>
        </w:rPr>
        <w:t>雲林縣政府民政</w:t>
      </w:r>
      <w:r>
        <w:rPr>
          <w:rFonts w:ascii="標楷體" w:eastAsia="標楷體" w:hAnsi="標楷體" w:cs="標楷體"/>
          <w:szCs w:val="24"/>
        </w:rPr>
        <w:t>處，1份</w:t>
      </w:r>
      <w:r w:rsidR="003801F1">
        <w:rPr>
          <w:rFonts w:ascii="標楷體" w:eastAsia="標楷體" w:hAnsi="標楷體" w:cs="標楷體" w:hint="eastAsia"/>
          <w:szCs w:val="24"/>
        </w:rPr>
        <w:t>送主計室，1份</w:t>
      </w:r>
      <w:r>
        <w:rPr>
          <w:rFonts w:ascii="標楷體" w:eastAsia="標楷體" w:hAnsi="標楷體" w:cs="標楷體"/>
          <w:szCs w:val="24"/>
        </w:rPr>
        <w:t>自存。</w:t>
      </w:r>
    </w:p>
    <w:p w14:paraId="453FBB3F" w14:textId="77777777" w:rsidR="00423959" w:rsidRDefault="00423959">
      <w:pPr>
        <w:pStyle w:val="Standard"/>
        <w:spacing w:line="320" w:lineRule="exact"/>
        <w:ind w:left="475" w:hanging="475"/>
      </w:pPr>
    </w:p>
    <w:p w14:paraId="38FF3156" w14:textId="77777777" w:rsidR="00423959" w:rsidRDefault="00423959">
      <w:pPr>
        <w:pStyle w:val="Standard"/>
        <w:jc w:val="center"/>
      </w:pPr>
    </w:p>
    <w:sectPr w:rsidR="00423959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F0B97" w14:textId="77777777" w:rsidR="00AD341C" w:rsidRDefault="00AD341C">
      <w:r>
        <w:separator/>
      </w:r>
    </w:p>
  </w:endnote>
  <w:endnote w:type="continuationSeparator" w:id="0">
    <w:p w14:paraId="01288F46" w14:textId="77777777" w:rsidR="00AD341C" w:rsidRDefault="00A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94E8" w14:textId="77777777" w:rsidR="00AD341C" w:rsidRDefault="00AD341C">
      <w:r>
        <w:rPr>
          <w:color w:val="000000"/>
        </w:rPr>
        <w:separator/>
      </w:r>
    </w:p>
  </w:footnote>
  <w:footnote w:type="continuationSeparator" w:id="0">
    <w:p w14:paraId="460CC866" w14:textId="77777777" w:rsidR="00AD341C" w:rsidRDefault="00AD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1490"/>
    <w:multiLevelType w:val="multilevel"/>
    <w:tmpl w:val="303E1456"/>
    <w:styleLink w:val="WW8Num1"/>
    <w:lvl w:ilvl="0">
      <w:start w:val="1"/>
      <w:numFmt w:val="decimal"/>
      <w:lvlText w:val="%1."/>
      <w:lvlJc w:val="left"/>
      <w:pPr>
        <w:ind w:left="1757" w:hanging="340"/>
      </w:pPr>
    </w:lvl>
    <w:lvl w:ilvl="1">
      <w:start w:val="1"/>
      <w:numFmt w:val="ideographTraditional"/>
      <w:lvlText w:val="%2、"/>
      <w:lvlJc w:val="left"/>
      <w:pPr>
        <w:ind w:left="2377" w:hanging="480"/>
      </w:pPr>
    </w:lvl>
    <w:lvl w:ilvl="2">
      <w:start w:val="1"/>
      <w:numFmt w:val="lowerRoman"/>
      <w:lvlText w:val="%3."/>
      <w:lvlJc w:val="right"/>
      <w:pPr>
        <w:ind w:left="2857" w:hanging="480"/>
      </w:pPr>
    </w:lvl>
    <w:lvl w:ilvl="3">
      <w:start w:val="1"/>
      <w:numFmt w:val="decimal"/>
      <w:lvlText w:val="%4."/>
      <w:lvlJc w:val="left"/>
      <w:pPr>
        <w:ind w:left="3337" w:hanging="480"/>
      </w:pPr>
    </w:lvl>
    <w:lvl w:ilvl="4">
      <w:start w:val="1"/>
      <w:numFmt w:val="ideographTraditional"/>
      <w:lvlText w:val="%5、"/>
      <w:lvlJc w:val="left"/>
      <w:pPr>
        <w:ind w:left="3817" w:hanging="480"/>
      </w:pPr>
    </w:lvl>
    <w:lvl w:ilvl="5">
      <w:start w:val="1"/>
      <w:numFmt w:val="lowerRoman"/>
      <w:lvlText w:val="%6."/>
      <w:lvlJc w:val="right"/>
      <w:pPr>
        <w:ind w:left="4297" w:hanging="480"/>
      </w:pPr>
    </w:lvl>
    <w:lvl w:ilvl="6">
      <w:start w:val="1"/>
      <w:numFmt w:val="decimal"/>
      <w:lvlText w:val="%7."/>
      <w:lvlJc w:val="left"/>
      <w:pPr>
        <w:ind w:left="4777" w:hanging="480"/>
      </w:pPr>
    </w:lvl>
    <w:lvl w:ilvl="7">
      <w:start w:val="1"/>
      <w:numFmt w:val="ideographTraditional"/>
      <w:lvlText w:val="%8、"/>
      <w:lvlJc w:val="left"/>
      <w:pPr>
        <w:ind w:left="5257" w:hanging="480"/>
      </w:pPr>
    </w:lvl>
    <w:lvl w:ilvl="8">
      <w:start w:val="1"/>
      <w:numFmt w:val="lowerRoman"/>
      <w:lvlText w:val="%9."/>
      <w:lvlJc w:val="right"/>
      <w:pPr>
        <w:ind w:left="573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59"/>
    <w:rsid w:val="000B6717"/>
    <w:rsid w:val="001D5E98"/>
    <w:rsid w:val="002D127A"/>
    <w:rsid w:val="003801F1"/>
    <w:rsid w:val="00423959"/>
    <w:rsid w:val="0080567F"/>
    <w:rsid w:val="008A651E"/>
    <w:rsid w:val="00A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ABA8"/>
  <w15:docId w15:val="{D3E51B37-A1A2-4288-B00F-013D6D82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2-K">
    <w:name w:val="22-K"/>
    <w:basedOn w:val="Standard"/>
    <w:rPr>
      <w:rFonts w:eastAsia="標楷體"/>
      <w:sz w:val="44"/>
    </w:rPr>
  </w:style>
  <w:style w:type="paragraph" w:customStyle="1" w:styleId="Textbodyindent">
    <w:name w:val="Text body indent"/>
    <w:basedOn w:val="Standard"/>
    <w:pPr>
      <w:ind w:left="680" w:hanging="680"/>
    </w:pPr>
    <w:rPr>
      <w:rFonts w:eastAsia="標楷體"/>
      <w:sz w:val="32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直轄市、縣（市）公共造產成果編製說明</dc:title>
  <dc:creator>moist201</dc:creator>
  <cp:lastModifiedBy>使用者02</cp:lastModifiedBy>
  <cp:revision>2</cp:revision>
  <cp:lastPrinted>2021-10-13T03:16:00Z</cp:lastPrinted>
  <dcterms:created xsi:type="dcterms:W3CDTF">2021-12-06T08:08:00Z</dcterms:created>
  <dcterms:modified xsi:type="dcterms:W3CDTF">2021-12-06T08:08:00Z</dcterms:modified>
</cp:coreProperties>
</file>